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DEGLI ALIMENTI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SECONDA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 xml:space="preserve">Scienze degli Alimenti Vol. </w:t>
      </w:r>
      <w:r>
        <w:rPr>
          <w:rStyle w:val="10"/>
          <w:rFonts w:ascii="Bookman Old Style" w:hAnsi="Bookman Old Style" w:eastAsia="Bookman Old Style" w:cs="Bookman Old Style"/>
          <w:spacing w:val="-10"/>
          <w:lang w:val="it-IT"/>
        </w:rPr>
        <w:t>2</w:t>
      </w:r>
      <w:r>
        <w:t>”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tabs>
          <w:tab w:val="left" w:pos="-720"/>
          <w:tab w:val="left" w:pos="0"/>
          <w:tab w:val="right" w:leader="dot" w:pos="84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5: LA DIGESTIONE ED IL METABOLISMO</w:t>
      </w:r>
    </w:p>
    <w:p>
      <w:pPr>
        <w:tabs>
          <w:tab w:val="left" w:pos="1345"/>
        </w:tabs>
        <w:autoSpaceDE w:val="0"/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L’apparato digerente</w:t>
      </w:r>
    </w:p>
    <w:p>
      <w:pPr>
        <w:tabs>
          <w:tab w:val="left" w:pos="1345"/>
        </w:tabs>
        <w:autoSpaceDE w:val="0"/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Elementi di bioenergetica.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6: PRINCIPI DI DIETOLOGIA</w:t>
      </w:r>
    </w:p>
    <w:p>
      <w:pPr>
        <w:tabs>
          <w:tab w:val="left" w:pos="1308"/>
        </w:tabs>
        <w:autoSpaceDE w:val="0"/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Dietologia.</w:t>
      </w:r>
    </w:p>
    <w:p>
      <w:pPr>
        <w:tabs>
          <w:tab w:val="left" w:pos="1308"/>
        </w:tabs>
        <w:autoSpaceDE w:val="0"/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Dietoterapia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7: CONSERVAZIONE E COTTURA DEGLI ALIMENTI</w:t>
      </w:r>
    </w:p>
    <w:p>
      <w:pPr>
        <w:tabs>
          <w:tab w:val="left" w:pos="1346"/>
        </w:tabs>
        <w:autoSpaceDE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Conservazione degli alimenti</w:t>
      </w:r>
    </w:p>
    <w:p>
      <w:pPr>
        <w:tabs>
          <w:tab w:val="left" w:pos="1346"/>
        </w:tabs>
        <w:autoSpaceDE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Cottura degli alimenti</w:t>
      </w: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5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6" type="#_x0000_t75" style="position:absolute;left:0;margin-left:62.25pt;margin-top:-3.75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7" type="#_x0000_t75" style="position:absolute;left:0;margin-left:165pt;margin-top:-9.7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8" type="#_x0000_t75" style="position:absolute;left:0;margin-left:225pt;margin-top:-8.25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square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323152F4"/>
    <w:rsid w:val="37D173EF"/>
    <w:rsid w:val="3A2714FB"/>
    <w:rsid w:val="54052403"/>
    <w:rsid w:val="69A752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2018-01-12T21:43:02Z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